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4BC81" w14:textId="7F1332CD" w:rsidR="00B20480" w:rsidRDefault="00B20480">
      <w:r>
        <w:t xml:space="preserve">Dunlop, et al. v. Bayhealth Medical Center, Inc. </w:t>
      </w:r>
    </w:p>
    <w:p w14:paraId="37B97425" w14:textId="6F64801C" w:rsidR="00B20480" w:rsidRDefault="00B20480">
      <w:r>
        <w:t>Case no. N25C-10-167</w:t>
      </w:r>
    </w:p>
    <w:p w14:paraId="233AE090" w14:textId="300166E8" w:rsidR="00B20480" w:rsidRDefault="00B20480">
      <w:r>
        <w:t>Laws: Federal Trade Commission Act, Health Insurance Portability and Accountability Act</w:t>
      </w:r>
    </w:p>
    <w:p w14:paraId="0AA59480" w14:textId="60FDD65D" w:rsidR="00B20480" w:rsidRDefault="00B20480">
      <w:r>
        <w:t>Categories:</w:t>
      </w:r>
      <w:r w:rsidR="00EC7169">
        <w:t xml:space="preserve"> class action settlement, data breach, privacy, medical/health</w:t>
      </w:r>
    </w:p>
    <w:p w14:paraId="6A846161" w14:textId="4114233C" w:rsidR="00B20480" w:rsidRDefault="00B20480">
      <w:r>
        <w:t>Title:</w:t>
      </w:r>
      <w:r w:rsidR="00EC7169">
        <w:t xml:space="preserve"> $2.5M Bayhealth Medical Center Settlement Ends Litigation Over Data Breach Discovered July 2024</w:t>
      </w:r>
    </w:p>
    <w:p w14:paraId="40C25BF1" w14:textId="6DF8ABCE" w:rsidR="00B20480" w:rsidRDefault="00B20480">
      <w:r>
        <w:t>Meta description:</w:t>
      </w:r>
      <w:r w:rsidR="00EC7169">
        <w:t xml:space="preserve"> Bayhealth Medical Center will pay $2.5M to end a class action lawsuit over a data breach discovered in July 2024. </w:t>
      </w:r>
    </w:p>
    <w:p w14:paraId="65C3F995" w14:textId="77777777" w:rsidR="00B20480" w:rsidRDefault="00B20480"/>
    <w:p w14:paraId="5BBB26AA" w14:textId="40A1D512" w:rsidR="00B20480" w:rsidRDefault="00B20480">
      <w:r>
        <w:t xml:space="preserve">Bayhealth Medical Center has agreed to pay $2.5 million to end a class action lawsuit over a data breach that allegedly allowed an unauthorized third party to gain access to files containing </w:t>
      </w:r>
      <w:r w:rsidR="0080035C">
        <w:t>private health</w:t>
      </w:r>
      <w:r>
        <w:t xml:space="preserve"> information. </w:t>
      </w:r>
    </w:p>
    <w:p w14:paraId="4E38F104" w14:textId="77777777" w:rsidR="00B20480" w:rsidRPr="00B20480" w:rsidRDefault="00B20480" w:rsidP="00B20480">
      <w:pPr>
        <w:rPr>
          <w:b/>
          <w:bCs/>
          <w:i/>
          <w:iCs/>
        </w:rPr>
      </w:pPr>
      <w:r w:rsidRPr="00B20480">
        <w:rPr>
          <w:b/>
          <w:bCs/>
          <w:i/>
          <w:iCs/>
        </w:rPr>
        <w:t xml:space="preserve">Don’t miss the next class action settlement deadline. Sign up for </w:t>
      </w:r>
      <w:hyperlink r:id="rId4" w:history="1">
        <w:proofErr w:type="spellStart"/>
        <w:r w:rsidRPr="00B20480">
          <w:rPr>
            <w:rStyle w:val="Hyperlink"/>
            <w:b/>
            <w:bCs/>
            <w:i/>
            <w:iCs/>
          </w:rPr>
          <w:t>ClassAction.org’s</w:t>
        </w:r>
        <w:proofErr w:type="spellEnd"/>
        <w:r w:rsidRPr="00B20480">
          <w:rPr>
            <w:rStyle w:val="Hyperlink"/>
            <w:b/>
            <w:bCs/>
            <w:i/>
            <w:iCs/>
          </w:rPr>
          <w:t xml:space="preserve"> free weekly newsletter</w:t>
        </w:r>
      </w:hyperlink>
      <w:r w:rsidRPr="00B20480">
        <w:rPr>
          <w:b/>
          <w:bCs/>
          <w:i/>
          <w:iCs/>
        </w:rPr>
        <w:t>.</w:t>
      </w:r>
    </w:p>
    <w:p w14:paraId="2B56B51E" w14:textId="57995F51" w:rsidR="00C37F7B" w:rsidRDefault="00B20480">
      <w:r>
        <w:t>The Bayhealth class action settlement receive</w:t>
      </w:r>
      <w:r w:rsidR="00130864">
        <w:t>d</w:t>
      </w:r>
      <w:r>
        <w:t xml:space="preserve"> preliminary approval from the court on </w:t>
      </w:r>
      <w:r w:rsidR="00D67AC7">
        <w:t>December 18, 2025</w:t>
      </w:r>
      <w:r w:rsidR="00130864">
        <w:t>,</w:t>
      </w:r>
      <w:r w:rsidR="00D67AC7">
        <w:t xml:space="preserve"> and covers all people identified on the settlement class list, which includes all individuals residing in the United States whose personal information was potentially compromised in the </w:t>
      </w:r>
      <w:hyperlink r:id="rId5" w:history="1">
        <w:r w:rsidR="00D67AC7" w:rsidRPr="005F416C">
          <w:rPr>
            <w:rStyle w:val="Hyperlink"/>
          </w:rPr>
          <w:t>data breach</w:t>
        </w:r>
      </w:hyperlink>
      <w:r w:rsidR="00D67AC7">
        <w:t xml:space="preserve"> discovered by Bayhealth in July 2024, including all those who received notice of the breach. </w:t>
      </w:r>
    </w:p>
    <w:p w14:paraId="4D4D6321" w14:textId="2A49C702" w:rsidR="00C37F7B" w:rsidRDefault="00C37F7B">
      <w:r>
        <w:t xml:space="preserve">According to settlement documents, approximately 496,261 individuals were potentially affected by the </w:t>
      </w:r>
      <w:hyperlink r:id="rId6" w:history="1">
        <w:r w:rsidRPr="00CD674C">
          <w:rPr>
            <w:rStyle w:val="Hyperlink"/>
          </w:rPr>
          <w:t>data breach</w:t>
        </w:r>
      </w:hyperlink>
      <w:r>
        <w:t xml:space="preserve">. </w:t>
      </w:r>
    </w:p>
    <w:p w14:paraId="438BB21C" w14:textId="77694129" w:rsidR="00D67AC7" w:rsidRDefault="00D67AC7">
      <w:r>
        <w:t xml:space="preserve">The court-approved website for </w:t>
      </w:r>
      <w:proofErr w:type="gramStart"/>
      <w:r>
        <w:t>the Bayhealth</w:t>
      </w:r>
      <w:proofErr w:type="gramEnd"/>
      <w:r>
        <w:t xml:space="preserve"> settlement can be found at </w:t>
      </w:r>
      <w:hyperlink r:id="rId7" w:history="1">
        <w:r w:rsidRPr="00D67AC7">
          <w:rPr>
            <w:rStyle w:val="Hyperlink"/>
          </w:rPr>
          <w:t>BayhealthDataIncidentSettlement.com</w:t>
        </w:r>
      </w:hyperlink>
      <w:r>
        <w:t xml:space="preserve">. </w:t>
      </w:r>
    </w:p>
    <w:p w14:paraId="427933D3" w14:textId="3D0EA6CE" w:rsidR="00D67AC7" w:rsidRDefault="00D67AC7">
      <w:r>
        <w:t xml:space="preserve">Per the settlement website, Bayhealth </w:t>
      </w:r>
      <w:hyperlink r:id="rId8" w:history="1">
        <w:r w:rsidRPr="005F416C">
          <w:rPr>
            <w:rStyle w:val="Hyperlink"/>
          </w:rPr>
          <w:t>settlement class members</w:t>
        </w:r>
      </w:hyperlink>
      <w:r>
        <w:t xml:space="preserve"> who submit a timely, valid claim form have two options for monetary reimbursement. </w:t>
      </w:r>
    </w:p>
    <w:p w14:paraId="7A012C35" w14:textId="24D997A5" w:rsidR="00D67AC7" w:rsidRDefault="00D67AC7">
      <w:r>
        <w:t xml:space="preserve">The settlement site </w:t>
      </w:r>
      <w:r w:rsidR="00EC7169">
        <w:t>states</w:t>
      </w:r>
      <w:r>
        <w:t xml:space="preserve"> that class members who submit a timely, valid claim form </w:t>
      </w:r>
      <w:r w:rsidR="00EC7169">
        <w:t xml:space="preserve">and provide </w:t>
      </w:r>
      <w:r w:rsidRPr="00D67AC7">
        <w:rPr>
          <w:b/>
          <w:bCs/>
        </w:rPr>
        <w:t>documented proof of out-of-pocket losses</w:t>
      </w:r>
      <w:r>
        <w:t xml:space="preserve"> related to the data breach are eligible to receive </w:t>
      </w:r>
      <w:r w:rsidRPr="00D67AC7">
        <w:rPr>
          <w:b/>
          <w:bCs/>
        </w:rPr>
        <w:t>up to $5,000</w:t>
      </w:r>
      <w:r>
        <w:t xml:space="preserve"> in reimbursement. Reimbursable expenses include costs related to identity theft or fraud, purchasing credit monitoring or identity theft protection services, freezing/unfreezing credit reports, and other miscellaneous expenses such as postage, mileage, or notary fees. </w:t>
      </w:r>
    </w:p>
    <w:p w14:paraId="22735EF3" w14:textId="795DE4AC" w:rsidR="00130864" w:rsidRDefault="00130864">
      <w:r>
        <w:lastRenderedPageBreak/>
        <w:t xml:space="preserve">Settlement class members may not submit claims for reimbursement of out-of-pocket expenses already reimbursed by another source. </w:t>
      </w:r>
    </w:p>
    <w:p w14:paraId="74AD033E" w14:textId="411EEACF" w:rsidR="00D67AC7" w:rsidRDefault="00D67AC7">
      <w:r>
        <w:t xml:space="preserve">Instead of submitting a claim for documented losses, class members may submit a claim for a </w:t>
      </w:r>
      <w:r w:rsidRPr="00C37F7B">
        <w:rPr>
          <w:b/>
          <w:bCs/>
        </w:rPr>
        <w:t>one-time, prorated</w:t>
      </w:r>
      <w:r w:rsidR="00C37F7B" w:rsidRPr="00C37F7B">
        <w:rPr>
          <w:b/>
          <w:bCs/>
        </w:rPr>
        <w:t xml:space="preserve"> alternative</w:t>
      </w:r>
      <w:r w:rsidRPr="00C37F7B">
        <w:rPr>
          <w:b/>
          <w:bCs/>
        </w:rPr>
        <w:t xml:space="preserve"> cash payment of approx</w:t>
      </w:r>
      <w:r w:rsidR="00C37F7B" w:rsidRPr="00C37F7B">
        <w:rPr>
          <w:b/>
          <w:bCs/>
        </w:rPr>
        <w:t>imately $60</w:t>
      </w:r>
      <w:r w:rsidR="00C37F7B">
        <w:t xml:space="preserve">. Settlement documents explain that the final amount is subject to increase or decrease depending on the amount of money left in the settlement fund after lead plaintiffs’ service awards, administrative expenses, and attorneys’ fees have been paid. </w:t>
      </w:r>
    </w:p>
    <w:p w14:paraId="051D8575" w14:textId="1E2609E6" w:rsidR="00C37F7B" w:rsidRDefault="00C37F7B">
      <w:r>
        <w:t>Finally, all Bayhealth settlement class members are eligible to enroll in t</w:t>
      </w:r>
      <w:r w:rsidRPr="00C37F7B">
        <w:rPr>
          <w:b/>
          <w:bCs/>
        </w:rPr>
        <w:t>wo free years of medical monitoring services</w:t>
      </w:r>
      <w:r>
        <w:t xml:space="preserve">. </w:t>
      </w:r>
      <w:r w:rsidR="00795CD0">
        <w:t>The settlement site says t</w:t>
      </w:r>
      <w:r>
        <w:t xml:space="preserve">he settlement administrator will distribute activation codes to each eligible class member within 14 days of final approval. These codes, the settlement site reports, will remain active for 180 days after the date they were mailed. </w:t>
      </w:r>
    </w:p>
    <w:p w14:paraId="69C08E4D" w14:textId="3AF8EB77" w:rsidR="00C37F7B" w:rsidRDefault="00C37F7B" w:rsidP="00C37F7B">
      <w:r>
        <w:t xml:space="preserve">To submit a Bayhealth settlement claim form online, class members can head to </w:t>
      </w:r>
      <w:hyperlink r:id="rId9" w:history="1">
        <w:r w:rsidRPr="00D301EF">
          <w:rPr>
            <w:rStyle w:val="Hyperlink"/>
          </w:rPr>
          <w:t>this page</w:t>
        </w:r>
      </w:hyperlink>
      <w:r>
        <w:t xml:space="preserve"> and enter the </w:t>
      </w:r>
      <w:hyperlink r:id="rId10" w:history="1">
        <w:r w:rsidRPr="00D301EF">
          <w:rPr>
            <w:rStyle w:val="Hyperlink"/>
          </w:rPr>
          <w:t>unique class member ID</w:t>
        </w:r>
      </w:hyperlink>
      <w:r>
        <w:t xml:space="preserve"> as found on their copy of the </w:t>
      </w:r>
      <w:hyperlink r:id="rId11" w:history="1">
        <w:r w:rsidRPr="00D301EF">
          <w:rPr>
            <w:rStyle w:val="Hyperlink"/>
          </w:rPr>
          <w:t>settlement notice</w:t>
        </w:r>
      </w:hyperlink>
      <w:r>
        <w:t xml:space="preserve">. Alternatively, class members can </w:t>
      </w:r>
      <w:hyperlink r:id="rId12" w:history="1">
        <w:r w:rsidRPr="00D301EF">
          <w:rPr>
            <w:rStyle w:val="Hyperlink"/>
          </w:rPr>
          <w:t>download a PDF claim form</w:t>
        </w:r>
      </w:hyperlink>
      <w:r>
        <w:t xml:space="preserve"> to print, complete, and return by mail to the settlement administrator</w:t>
      </w:r>
      <w:r w:rsidR="00D301EF">
        <w:t xml:space="preserve"> listed on the first page of the document. </w:t>
      </w:r>
    </w:p>
    <w:p w14:paraId="3A3E5906" w14:textId="2123658B" w:rsidR="00C37F7B" w:rsidRDefault="00C37F7B" w:rsidP="00C37F7B">
      <w:r>
        <w:t xml:space="preserve">All Bayhealth settlement claim forms must be submitted online or postmarked by </w:t>
      </w:r>
      <w:r w:rsidRPr="00130864">
        <w:rPr>
          <w:b/>
          <w:bCs/>
        </w:rPr>
        <w:t>April 10, 2026</w:t>
      </w:r>
      <w:r>
        <w:t xml:space="preserve">. </w:t>
      </w:r>
    </w:p>
    <w:p w14:paraId="71891CD8" w14:textId="12E67BE4" w:rsidR="00C37F7B" w:rsidRDefault="00C37F7B" w:rsidP="00C37F7B">
      <w:r>
        <w:t>The court will hold a hearing to determine whether the Bayhea</w:t>
      </w:r>
      <w:r w:rsidR="00130864">
        <w:t>lth</w:t>
      </w:r>
      <w:r>
        <w:t xml:space="preserve"> settlement will receive </w:t>
      </w:r>
      <w:hyperlink r:id="rId13" w:history="1">
        <w:r w:rsidRPr="00D301EF">
          <w:rPr>
            <w:rStyle w:val="Hyperlink"/>
          </w:rPr>
          <w:t>final approval</w:t>
        </w:r>
      </w:hyperlink>
      <w:r>
        <w:t xml:space="preserve"> on June 5, 2026. Compensation will only begin to be distributed to class members after final approval has been granted and any appeals have been resolved. </w:t>
      </w:r>
    </w:p>
    <w:p w14:paraId="3010E8A1" w14:textId="6C41F482" w:rsidR="00130864" w:rsidRDefault="00C37F7B" w:rsidP="00C37F7B">
      <w:r>
        <w:t xml:space="preserve">The Bayhealth class action lawsuit alleged that the </w:t>
      </w:r>
      <w:hyperlink r:id="rId14" w:history="1">
        <w:r w:rsidRPr="009E015E">
          <w:rPr>
            <w:rStyle w:val="Hyperlink"/>
          </w:rPr>
          <w:t>healthcare</w:t>
        </w:r>
      </w:hyperlink>
      <w:r>
        <w:t xml:space="preserve"> system, located in Dover, Delaware, </w:t>
      </w:r>
      <w:r w:rsidR="00D112E4">
        <w:t>was routinely negligent</w:t>
      </w:r>
      <w:r>
        <w:t xml:space="preserve"> </w:t>
      </w:r>
      <w:r w:rsidR="00D112E4">
        <w:t xml:space="preserve">with </w:t>
      </w:r>
      <w:r>
        <w:t>current and former patients’ information</w:t>
      </w:r>
      <w:r w:rsidR="00D112E4">
        <w:t xml:space="preserve">, </w:t>
      </w:r>
      <w:r w:rsidR="004A7858">
        <w:t xml:space="preserve">ultimately resulting in a cyberattack that exposed patients’ private </w:t>
      </w:r>
      <w:hyperlink r:id="rId15" w:history="1">
        <w:r w:rsidR="004A7858" w:rsidRPr="004A7858">
          <w:rPr>
            <w:rStyle w:val="Hyperlink"/>
          </w:rPr>
          <w:t>health information</w:t>
        </w:r>
      </w:hyperlink>
      <w:r w:rsidR="004A7858">
        <w:t xml:space="preserve">. </w:t>
      </w:r>
      <w:r w:rsidR="00130864">
        <w:t xml:space="preserve"> </w:t>
      </w:r>
    </w:p>
    <w:p w14:paraId="4227653C" w14:textId="77777777" w:rsidR="00130864" w:rsidRPr="00130864" w:rsidRDefault="00130864" w:rsidP="00130864">
      <w:r>
        <w:t xml:space="preserve"> </w:t>
      </w:r>
      <w:r w:rsidRPr="00130864">
        <w:rPr>
          <w:b/>
          <w:bCs/>
          <w:i/>
          <w:iCs/>
        </w:rPr>
        <w:t>Head to </w:t>
      </w:r>
      <w:proofErr w:type="spellStart"/>
      <w:r w:rsidRPr="00130864">
        <w:rPr>
          <w:b/>
          <w:bCs/>
          <w:i/>
          <w:iCs/>
        </w:rPr>
        <w:t>ClassAction.org’s</w:t>
      </w:r>
      <w:proofErr w:type="spellEnd"/>
      <w:r w:rsidRPr="00130864">
        <w:rPr>
          <w:b/>
          <w:bCs/>
          <w:i/>
          <w:iCs/>
        </w:rPr>
        <w:t xml:space="preserve"> settlements page for a complete list of </w:t>
      </w:r>
      <w:hyperlink r:id="rId16" w:tgtFrame="_blank" w:history="1">
        <w:r w:rsidRPr="00130864">
          <w:rPr>
            <w:rStyle w:val="Hyperlink"/>
            <w:b/>
            <w:bCs/>
            <w:i/>
            <w:iCs/>
          </w:rPr>
          <w:t>data breach settlements</w:t>
        </w:r>
      </w:hyperlink>
      <w:r w:rsidRPr="00130864">
        <w:rPr>
          <w:b/>
          <w:bCs/>
          <w:i/>
          <w:iCs/>
        </w:rPr>
        <w:t>.</w:t>
      </w:r>
    </w:p>
    <w:p w14:paraId="1B8354AA" w14:textId="7C638C74" w:rsidR="00C37F7B" w:rsidRDefault="00C37F7B" w:rsidP="00C37F7B"/>
    <w:p w14:paraId="599167A5" w14:textId="77777777" w:rsidR="00934080" w:rsidRDefault="00934080" w:rsidP="00C37F7B"/>
    <w:p w14:paraId="75638FD1" w14:textId="7CA3DAB6" w:rsidR="00934080" w:rsidRDefault="00934080" w:rsidP="00C37F7B">
      <w:r>
        <w:t>Update post:</w:t>
      </w:r>
    </w:p>
    <w:p w14:paraId="6E6EAB42" w14:textId="062F041B" w:rsidR="00934080" w:rsidRPr="00250A96" w:rsidRDefault="00934080" w:rsidP="00C37F7B">
      <w:pPr>
        <w:rPr>
          <w:b/>
          <w:bCs/>
        </w:rPr>
      </w:pPr>
      <w:hyperlink r:id="rId17" w:history="1">
        <w:r w:rsidRPr="00250A96">
          <w:rPr>
            <w:rStyle w:val="Hyperlink"/>
            <w:b/>
            <w:bCs/>
          </w:rPr>
          <w:t>Bayhealth Medical Center Data Breach Lawsuit | ClassAction.org</w:t>
        </w:r>
      </w:hyperlink>
    </w:p>
    <w:p w14:paraId="1E35A6C0" w14:textId="0106E7E3" w:rsidR="00934080" w:rsidRPr="00250A96" w:rsidRDefault="00934080" w:rsidP="00C37F7B">
      <w:pPr>
        <w:rPr>
          <w:b/>
          <w:bCs/>
        </w:rPr>
      </w:pPr>
      <w:r w:rsidRPr="00250A96">
        <w:rPr>
          <w:b/>
          <w:bCs/>
        </w:rPr>
        <w:t xml:space="preserve">January 26, 2026 – $2.5M Bayhealth Settlement Resolves Class Action Lawsuit Over Cyberattack </w:t>
      </w:r>
    </w:p>
    <w:p w14:paraId="2A132BAF" w14:textId="0E31E3E5" w:rsidR="00C71ED6" w:rsidRDefault="00C71ED6" w:rsidP="00C37F7B">
      <w:r>
        <w:lastRenderedPageBreak/>
        <w:t>Bayhealth Medical Center has agreed to pay $2.5 million to wrap up the class action lawsuit detailed on this page</w:t>
      </w:r>
      <w:r w:rsidR="004D30AE">
        <w:t xml:space="preserve">. </w:t>
      </w:r>
    </w:p>
    <w:p w14:paraId="4D52D842" w14:textId="0111C86B" w:rsidR="004D30AE" w:rsidRDefault="004D30AE" w:rsidP="00C37F7B">
      <w:r>
        <w:t xml:space="preserve">Learn more about the deal with </w:t>
      </w:r>
      <w:proofErr w:type="spellStart"/>
      <w:r>
        <w:t>ClassAction.org’s</w:t>
      </w:r>
      <w:proofErr w:type="spellEnd"/>
      <w:r>
        <w:t xml:space="preserve"> coverage of the Bayhealth data breach settlement. </w:t>
      </w:r>
    </w:p>
    <w:p w14:paraId="3422A85E" w14:textId="77777777" w:rsidR="00250A96" w:rsidRPr="00250A96" w:rsidRDefault="00250A96" w:rsidP="00250A96">
      <w:r w:rsidRPr="00250A96">
        <w:rPr>
          <w:b/>
          <w:bCs/>
          <w:i/>
          <w:iCs/>
        </w:rPr>
        <w:t xml:space="preserve">Don’t miss out on class action settlement news like this. Sign up for </w:t>
      </w:r>
      <w:hyperlink r:id="rId18" w:history="1">
        <w:proofErr w:type="spellStart"/>
        <w:r w:rsidRPr="00250A96">
          <w:rPr>
            <w:rStyle w:val="Hyperlink"/>
            <w:b/>
            <w:bCs/>
            <w:i/>
            <w:iCs/>
          </w:rPr>
          <w:t>ClassAction.org’s</w:t>
        </w:r>
        <w:proofErr w:type="spellEnd"/>
        <w:r w:rsidRPr="00250A96">
          <w:rPr>
            <w:rStyle w:val="Hyperlink"/>
            <w:b/>
            <w:bCs/>
            <w:i/>
            <w:iCs/>
          </w:rPr>
          <w:t xml:space="preserve"> free weekly newsletter</w:t>
        </w:r>
      </w:hyperlink>
      <w:r w:rsidRPr="00250A96">
        <w:rPr>
          <w:b/>
          <w:bCs/>
          <w:i/>
          <w:iCs/>
        </w:rPr>
        <w:t>.</w:t>
      </w:r>
    </w:p>
    <w:p w14:paraId="65E2D518" w14:textId="77777777" w:rsidR="004D30AE" w:rsidRDefault="004D30AE" w:rsidP="00C37F7B"/>
    <w:sectPr w:rsidR="004D30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480"/>
    <w:rsid w:val="00130864"/>
    <w:rsid w:val="00250A96"/>
    <w:rsid w:val="0032547D"/>
    <w:rsid w:val="004A7858"/>
    <w:rsid w:val="004D30AE"/>
    <w:rsid w:val="005F416C"/>
    <w:rsid w:val="00795CD0"/>
    <w:rsid w:val="0080035C"/>
    <w:rsid w:val="00934080"/>
    <w:rsid w:val="009E015E"/>
    <w:rsid w:val="00B20480"/>
    <w:rsid w:val="00C37F7B"/>
    <w:rsid w:val="00C71ED6"/>
    <w:rsid w:val="00CD674C"/>
    <w:rsid w:val="00D112E4"/>
    <w:rsid w:val="00D301EF"/>
    <w:rsid w:val="00D67AC7"/>
    <w:rsid w:val="00EC7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A00F2"/>
  <w15:chartTrackingRefBased/>
  <w15:docId w15:val="{D5FAEC86-3C5A-4DB3-8D29-F54BAF6BF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04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04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0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0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0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0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0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0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0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0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0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0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0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0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0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0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0480"/>
    <w:rPr>
      <w:rFonts w:eastAsiaTheme="majorEastAsia" w:cstheme="majorBidi"/>
      <w:color w:val="272727" w:themeColor="text1" w:themeTint="D8"/>
    </w:rPr>
  </w:style>
  <w:style w:type="paragraph" w:styleId="Title">
    <w:name w:val="Title"/>
    <w:basedOn w:val="Normal"/>
    <w:next w:val="Normal"/>
    <w:link w:val="TitleChar"/>
    <w:uiPriority w:val="10"/>
    <w:qFormat/>
    <w:rsid w:val="00B20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0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0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0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0480"/>
    <w:pPr>
      <w:spacing w:before="160"/>
      <w:jc w:val="center"/>
    </w:pPr>
    <w:rPr>
      <w:i/>
      <w:iCs/>
      <w:color w:val="404040" w:themeColor="text1" w:themeTint="BF"/>
    </w:rPr>
  </w:style>
  <w:style w:type="character" w:customStyle="1" w:styleId="QuoteChar">
    <w:name w:val="Quote Char"/>
    <w:basedOn w:val="DefaultParagraphFont"/>
    <w:link w:val="Quote"/>
    <w:uiPriority w:val="29"/>
    <w:rsid w:val="00B20480"/>
    <w:rPr>
      <w:i/>
      <w:iCs/>
      <w:color w:val="404040" w:themeColor="text1" w:themeTint="BF"/>
    </w:rPr>
  </w:style>
  <w:style w:type="paragraph" w:styleId="ListParagraph">
    <w:name w:val="List Paragraph"/>
    <w:basedOn w:val="Normal"/>
    <w:uiPriority w:val="34"/>
    <w:qFormat/>
    <w:rsid w:val="00B20480"/>
    <w:pPr>
      <w:ind w:left="720"/>
      <w:contextualSpacing/>
    </w:pPr>
  </w:style>
  <w:style w:type="character" w:styleId="IntenseEmphasis">
    <w:name w:val="Intense Emphasis"/>
    <w:basedOn w:val="DefaultParagraphFont"/>
    <w:uiPriority w:val="21"/>
    <w:qFormat/>
    <w:rsid w:val="00B20480"/>
    <w:rPr>
      <w:i/>
      <w:iCs/>
      <w:color w:val="0F4761" w:themeColor="accent1" w:themeShade="BF"/>
    </w:rPr>
  </w:style>
  <w:style w:type="paragraph" w:styleId="IntenseQuote">
    <w:name w:val="Intense Quote"/>
    <w:basedOn w:val="Normal"/>
    <w:next w:val="Normal"/>
    <w:link w:val="IntenseQuoteChar"/>
    <w:uiPriority w:val="30"/>
    <w:qFormat/>
    <w:rsid w:val="00B20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0480"/>
    <w:rPr>
      <w:i/>
      <w:iCs/>
      <w:color w:val="0F4761" w:themeColor="accent1" w:themeShade="BF"/>
    </w:rPr>
  </w:style>
  <w:style w:type="character" w:styleId="IntenseReference">
    <w:name w:val="Intense Reference"/>
    <w:basedOn w:val="DefaultParagraphFont"/>
    <w:uiPriority w:val="32"/>
    <w:qFormat/>
    <w:rsid w:val="00B20480"/>
    <w:rPr>
      <w:b/>
      <w:bCs/>
      <w:smallCaps/>
      <w:color w:val="0F4761" w:themeColor="accent1" w:themeShade="BF"/>
      <w:spacing w:val="5"/>
    </w:rPr>
  </w:style>
  <w:style w:type="character" w:styleId="Hyperlink">
    <w:name w:val="Hyperlink"/>
    <w:basedOn w:val="DefaultParagraphFont"/>
    <w:uiPriority w:val="99"/>
    <w:unhideWhenUsed/>
    <w:rsid w:val="00B20480"/>
    <w:rPr>
      <w:color w:val="467886" w:themeColor="hyperlink"/>
      <w:u w:val="single"/>
    </w:rPr>
  </w:style>
  <w:style w:type="character" w:styleId="UnresolvedMention">
    <w:name w:val="Unresolved Mention"/>
    <w:basedOn w:val="DefaultParagraphFont"/>
    <w:uiPriority w:val="99"/>
    <w:semiHidden/>
    <w:unhideWhenUsed/>
    <w:rsid w:val="00B20480"/>
    <w:rPr>
      <w:color w:val="605E5C"/>
      <w:shd w:val="clear" w:color="auto" w:fill="E1DFDD"/>
    </w:rPr>
  </w:style>
  <w:style w:type="character" w:styleId="FollowedHyperlink">
    <w:name w:val="FollowedHyperlink"/>
    <w:basedOn w:val="DefaultParagraphFont"/>
    <w:uiPriority w:val="99"/>
    <w:semiHidden/>
    <w:unhideWhenUsed/>
    <w:rsid w:val="00CD674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assaction.org/learn/lawsuits-overview#the-class" TargetMode="External"/><Relationship Id="rId13" Type="http://schemas.openxmlformats.org/officeDocument/2006/relationships/hyperlink" Target="https://www.classaction.org/blog/from-talks-to-checks-the-stages-of-a-class-action-settlement" TargetMode="External"/><Relationship Id="rId18" Type="http://schemas.openxmlformats.org/officeDocument/2006/relationships/hyperlink" Target="https://www.classaction.org/newsletter-sign-up" TargetMode="External"/><Relationship Id="rId3" Type="http://schemas.openxmlformats.org/officeDocument/2006/relationships/webSettings" Target="webSettings.xml"/><Relationship Id="rId7" Type="http://schemas.openxmlformats.org/officeDocument/2006/relationships/hyperlink" Target="https://bayhealthdataincidentsettlement.com/" TargetMode="External"/><Relationship Id="rId12" Type="http://schemas.openxmlformats.org/officeDocument/2006/relationships/hyperlink" Target="https://bayhealthdataincidentsettlement.com/documents" TargetMode="External"/><Relationship Id="rId17" Type="http://schemas.openxmlformats.org/officeDocument/2006/relationships/hyperlink" Target="https://www.classaction.org/data-breach-lawsuits/bayhealth-medical-center-october-2024" TargetMode="External"/><Relationship Id="rId2" Type="http://schemas.openxmlformats.org/officeDocument/2006/relationships/settings" Target="settings.xml"/><Relationship Id="rId16" Type="http://schemas.openxmlformats.org/officeDocument/2006/relationships/hyperlink" Target="https://www.classaction.org/settlements"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classaction.org/data-breach-lawsuits" TargetMode="External"/><Relationship Id="rId11" Type="http://schemas.openxmlformats.org/officeDocument/2006/relationships/hyperlink" Target="https://www.classaction.org/media/bayhealth-long-notice.pdf" TargetMode="External"/><Relationship Id="rId5" Type="http://schemas.openxmlformats.org/officeDocument/2006/relationships/hyperlink" Target="https://www.classaction.org/news/category/data-breach" TargetMode="External"/><Relationship Id="rId15" Type="http://schemas.openxmlformats.org/officeDocument/2006/relationships/hyperlink" Target="https://www.classaction.org/health-data-privacy-security-wiretapping" TargetMode="External"/><Relationship Id="rId10" Type="http://schemas.openxmlformats.org/officeDocument/2006/relationships/hyperlink" Target="https://www.classaction.org/blog/what-is-a-unique-settlement-id-number" TargetMode="External"/><Relationship Id="rId19" Type="http://schemas.openxmlformats.org/officeDocument/2006/relationships/fontTable" Target="fontTable.xml"/><Relationship Id="rId4" Type="http://schemas.openxmlformats.org/officeDocument/2006/relationships/hyperlink" Target="https://www.classaction.org/newsletter-sign-up" TargetMode="External"/><Relationship Id="rId9" Type="http://schemas.openxmlformats.org/officeDocument/2006/relationships/hyperlink" Target="https://forms.ksacms.com/efiling/fr/eform/BayhealthDataIncidentSettlement_claimform/new?form-version=1&amp;fr-wizard-page=section-1" TargetMode="External"/><Relationship Id="rId14" Type="http://schemas.openxmlformats.org/officeDocument/2006/relationships/hyperlink" Target="https://www.classaction.org/news/northwell-health-settlement-resolves-class-action-lawsuit-over-alleged-pixel-data-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79</TotalTime>
  <Pages>3</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DeRicco</dc:creator>
  <cp:keywords/>
  <dc:description/>
  <cp:lastModifiedBy>Olivia DeRicco</cp:lastModifiedBy>
  <cp:revision>13</cp:revision>
  <dcterms:created xsi:type="dcterms:W3CDTF">2026-01-26T15:57:00Z</dcterms:created>
  <dcterms:modified xsi:type="dcterms:W3CDTF">2026-01-26T17:16:00Z</dcterms:modified>
</cp:coreProperties>
</file>